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503772</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Wuhan, Hubei, China, 07</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11</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April</w:t>
      </w:r>
      <w:r>
        <w:rPr>
          <w:rFonts w:hint="default" w:ascii="Times New Roman" w:hAnsi="Times New Roman" w:cs="Times New Roman"/>
          <w:b/>
          <w:bCs/>
          <w:sz w:val="24"/>
          <w:highlight w:val="none"/>
        </w:rPr>
        <w:t>, 2025</w:t>
      </w:r>
    </w:p>
    <w:p w14:paraId="607309BB">
      <w:pPr>
        <w:tabs>
          <w:tab w:val="left" w:pos="1985"/>
        </w:tabs>
        <w:rPr>
          <w:rFonts w:ascii="Times New Roman" w:hAnsi="Times New Roman"/>
          <w:b/>
          <w:sz w:val="22"/>
          <w:highlight w:val="cyan"/>
        </w:rPr>
      </w:pPr>
    </w:p>
    <w:p w14:paraId="51C17403">
      <w:pPr>
        <w:tabs>
          <w:tab w:val="left" w:pos="1765"/>
        </w:tabs>
        <w:rPr>
          <w:rFonts w:hint="eastAsia"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20</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study on AI/ML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107</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30" w:type="dxa"/>
            <w:noWrap w:val="0"/>
            <w:vAlign w:val="top"/>
          </w:tcPr>
          <w:p w14:paraId="143C0340">
            <w:pPr>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044E129">
            <w:pPr>
              <w:numPr>
                <w:ilvl w:val="1"/>
                <w:numId w:val="5"/>
              </w:numPr>
              <w:spacing w:after="0"/>
              <w:rPr>
                <w:rFonts w:hint="default" w:ascii="Times New Roman" w:hAnsi="Times New Roman" w:cs="Times New Roman"/>
                <w:bCs/>
                <w:sz w:val="20"/>
                <w:szCs w:val="20"/>
              </w:rPr>
            </w:pPr>
            <w:r>
              <w:rPr>
                <w:rFonts w:hint="eastAsia" w:ascii="Times New Roman" w:hAnsi="Times New Roman" w:cs="Times New Roman"/>
                <w:bCs/>
                <w:sz w:val="20"/>
                <w:szCs w:val="20"/>
                <w:lang w:val="en-US" w:eastAsia="zh-CN"/>
              </w:rPr>
              <w:t>F</w:t>
            </w:r>
            <w:r>
              <w:rPr>
                <w:rFonts w:hint="default" w:ascii="Times New Roman" w:hAnsi="Times New Roman" w:cs="Times New Roman"/>
                <w:bCs/>
                <w:sz w:val="20"/>
                <w:szCs w:val="20"/>
              </w:rPr>
              <w:t xml:space="preserve">urther analyse the various testing options for two-sided models, in collaboration with RAN1, and including at least: </w:t>
            </w:r>
          </w:p>
          <w:p w14:paraId="64978413">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2400150A">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62C29F2">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29FBE3E8">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69078F5">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3C34F381">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Post-deployment validation due to model change/drift</w:t>
            </w:r>
          </w:p>
          <w:p w14:paraId="4D6A9054">
            <w:pPr>
              <w:numPr>
                <w:ilvl w:val="1"/>
                <w:numId w:val="5"/>
              </w:numPr>
              <w:overflowPunct/>
              <w:autoSpaceDE/>
              <w:autoSpaceDN/>
              <w:adjustRightInd/>
              <w:spacing w:after="0" w:line="259" w:lineRule="auto"/>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RAN5 aspects related to testability and interoperability to be addressed on a request basis</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[2]. </w:t>
      </w:r>
      <w:r>
        <w:rPr>
          <w:rFonts w:ascii="Times New Roman" w:hAnsi="Times New Roman"/>
          <w:sz w:val="20"/>
          <w:szCs w:val="20"/>
        </w:rPr>
        <w:t>T</w:t>
      </w:r>
      <w:r>
        <w:rPr>
          <w:rFonts w:hint="eastAsia" w:ascii="Times New Roman" w:hAnsi="Times New Roman"/>
          <w:sz w:val="20"/>
          <w:szCs w:val="20"/>
        </w:rPr>
        <w:t>his contribution provides discussion on general aspects.</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4B0AFB94">
      <w:pPr>
        <w:rPr>
          <w:rFonts w:ascii="Times New Roman" w:hAnsi="Times New Roman"/>
          <w:i/>
          <w:sz w:val="20"/>
          <w:szCs w:val="20"/>
          <w:highlight w:val="cya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9A9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2E527C3">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1-1-1: How many </w:t>
            </w:r>
            <w:r>
              <w:rPr>
                <w:rFonts w:hint="default" w:ascii="Times New Roman" w:hAnsi="Times New Roman" w:cs="Times New Roman"/>
                <w:b/>
                <w:i/>
                <w:iCs/>
                <w:sz w:val="20"/>
                <w:szCs w:val="20"/>
                <w:u w:val="single"/>
                <w:lang w:eastAsia="ko-KR"/>
              </w:rPr>
              <w:t>requirement sets</w:t>
            </w:r>
            <w:r>
              <w:rPr>
                <w:rFonts w:hint="default" w:ascii="Times New Roman" w:hAnsi="Times New Roman" w:cs="Times New Roman"/>
                <w:b/>
                <w:sz w:val="20"/>
                <w:szCs w:val="20"/>
                <w:u w:val="single"/>
                <w:lang w:eastAsia="ko-KR"/>
              </w:rPr>
              <w:t xml:space="preserve"> to define</w:t>
            </w:r>
          </w:p>
          <w:p w14:paraId="3C3336B6">
            <w:pPr>
              <w:pStyle w:val="10"/>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13C6B9EA">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Define </w:t>
            </w:r>
            <w:r>
              <w:rPr>
                <w:rFonts w:hint="default" w:ascii="Times New Roman" w:hAnsi="Times New Roman" w:eastAsia="宋体" w:cs="Times New Roman"/>
                <w:i/>
                <w:iCs/>
                <w:sz w:val="20"/>
                <w:szCs w:val="20"/>
                <w:lang w:eastAsia="zh-CN"/>
              </w:rPr>
              <w:t>requirement sets</w:t>
            </w:r>
            <w:r>
              <w:rPr>
                <w:rFonts w:hint="default" w:ascii="Times New Roman" w:hAnsi="Times New Roman" w:eastAsia="宋体" w:cs="Times New Roman"/>
                <w:sz w:val="20"/>
                <w:szCs w:val="20"/>
                <w:lang w:eastAsia="zh-CN"/>
              </w:rPr>
              <w:t xml:space="preserve"> for at least every feature and applicable subset (Apple proposal 1/12, Nokia proposal 1)</w:t>
            </w:r>
          </w:p>
          <w:p w14:paraId="39C6C1E4">
            <w:pPr>
              <w:pStyle w:val="10"/>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1a: FFS how to relate subsets and applicable conditions depending on definition of applicable conditions (Apple proposal 2, 13)</w:t>
            </w:r>
          </w:p>
          <w:p w14:paraId="0ED86964">
            <w:pPr>
              <w:pStyle w:val="10"/>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1b: A minimum set of configurations/IDs shall be mandatory (Nokia proposal 2)</w:t>
            </w:r>
          </w:p>
          <w:p w14:paraId="746151E3">
            <w:pPr>
              <w:pStyle w:val="10"/>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1c: Do not define requirements with a change of associated ID during testing (Nokia proposal 3)</w:t>
            </w:r>
          </w:p>
          <w:p w14:paraId="37AB2EBB">
            <w:pPr>
              <w:pStyle w:val="10"/>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1d: Ensure consistency between applicable conditions signalling during training and inference (Apple proposal 10)</w:t>
            </w:r>
          </w:p>
          <w:p w14:paraId="5D95327A">
            <w:pPr>
              <w:pStyle w:val="10"/>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lang w:eastAsia="zh-CN"/>
              </w:rPr>
              <w:t xml:space="preserve">Option 2: At least a </w:t>
            </w:r>
            <w:r>
              <w:rPr>
                <w:rFonts w:hint="default" w:ascii="Times New Roman" w:hAnsi="Times New Roman" w:eastAsia="宋体" w:cs="Times New Roman"/>
                <w:i/>
                <w:iCs/>
                <w:sz w:val="20"/>
                <w:szCs w:val="20"/>
                <w:lang w:eastAsia="zh-CN"/>
              </w:rPr>
              <w:t>requirement set</w:t>
            </w:r>
            <w:r>
              <w:rPr>
                <w:rFonts w:hint="default" w:ascii="Times New Roman" w:hAnsi="Times New Roman" w:eastAsia="宋体" w:cs="Times New Roman"/>
                <w:sz w:val="20"/>
                <w:szCs w:val="20"/>
                <w:lang w:eastAsia="zh-CN"/>
              </w:rPr>
              <w:t xml:space="preserve"> per functionality, TBC for subsets depending on conclusions on granularity (CMCC proposal 3, CATT proposal 4)</w:t>
            </w:r>
          </w:p>
        </w:tc>
      </w:tr>
    </w:tbl>
    <w:p w14:paraId="02451B80">
      <w:pPr>
        <w:spacing w:after="180" w:line="240" w:lineRule="exact"/>
        <w:rPr>
          <w:rFonts w:hint="eastAsia" w:ascii="Times New Roman" w:hAnsi="Times New Roman" w:eastAsia="等线"/>
          <w:bCs/>
          <w:iCs/>
          <w:sz w:val="20"/>
          <w:szCs w:val="20"/>
          <w:lang w:val="en-US" w:eastAsia="zh-CN"/>
        </w:rPr>
      </w:pPr>
    </w:p>
    <w:p w14:paraId="3DBD610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RAN1 discussion, for AI/ML functionality identification and functionality-based LCM of UE-side models and/or UE-part of two-sided models, functionality refers to an AI/ML-enabled Feature/FG enabled by configuration(s), where configuration(s) is(are) supported based on conditions indicated by UE capability. It can be seen that UE will report the supported configurations for a certain model/functionality. The scenarios and/or configurations for requirements/tests can be decided based on the supported configuration reported by UE. </w:t>
      </w:r>
    </w:p>
    <w:p w14:paraId="72A0A59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 LS on applicable functionality reporting for beam management UE-sided model is sent from RAN2 to RAN1. One of the questions is what is the granularity of functionality. For example, whether it is a use case (e.g. beam management), whether it is a sub-use case (e.g. beam management Case 1), or others. According to RAN1 agreements, the meaning and the granularity of “functionality” for Applicable functionalities, Activated functionalities and Supported functionalities may or may not be the same. The concept/terminology “functionality”of Supported functionalities may refer to UE-capability information/parameters i.e., Rel-19 AI/ML-enabled Features/FGs. The concept/terminology “ functionality”  of Applicable functionalities may refer to CSI-ReportConfig for inference configuration or a set of inference related parameters. The Activated functionalities may be enabled based on CSI framework. The definition is also alligned with RAN2 understanding. Supported functionalities refer to functionalities that UE can indicate by using UE capability information (via RRC/LPP signalling). Applicable functionalities refers to functionalities that the UE is ready to apply for inference. Activated functionalities refers to functionalities already enabled for performing inference.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A98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881A0D1">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RAN1 agreements in RAN1 #119</w:t>
            </w:r>
          </w:p>
          <w:p w14:paraId="57CE0593">
            <w:pPr>
              <w:numPr>
                <w:ilvl w:val="0"/>
                <w:numId w:val="7"/>
              </w:numPr>
              <w:spacing w:before="156" w:after="156" w:line="276" w:lineRule="auto"/>
              <w:rPr>
                <w:rFonts w:hint="default" w:ascii="Times New Roman" w:hAnsi="Times New Roman" w:eastAsia="Malgun Gothic" w:cs="Times New Roman"/>
                <w:color w:val="auto"/>
                <w:sz w:val="20"/>
                <w:szCs w:val="20"/>
                <w:lang w:val="en-US" w:eastAsia="zh-CN"/>
              </w:rPr>
            </w:pPr>
            <w:r>
              <w:rPr>
                <w:rFonts w:hint="default" w:ascii="Times New Roman" w:hAnsi="Times New Roman" w:eastAsia="Malgun Gothic" w:cs="Times New Roman"/>
                <w:color w:val="auto"/>
                <w:sz w:val="20"/>
                <w:szCs w:val="20"/>
                <w:lang w:val="en-US" w:eastAsia="zh-CN"/>
              </w:rPr>
              <w:t>The concept/terminology “functionality</w:t>
            </w:r>
            <w:r>
              <w:rPr>
                <w:rFonts w:hint="default" w:ascii="Times New Roman" w:hAnsi="Times New Roman" w:cs="Times New Roman"/>
                <w:color w:val="auto"/>
                <w:sz w:val="20"/>
                <w:szCs w:val="20"/>
                <w:lang w:eastAsia="zh-CN"/>
              </w:rPr>
              <w:t xml:space="preserve">” </w:t>
            </w:r>
            <w:r>
              <w:rPr>
                <w:rFonts w:hint="default" w:ascii="Times New Roman" w:hAnsi="Times New Roman" w:eastAsia="Malgun Gothic" w:cs="Times New Roman"/>
                <w:color w:val="auto"/>
                <w:sz w:val="20"/>
                <w:szCs w:val="20"/>
                <w:lang w:val="en-US" w:eastAsia="zh-CN"/>
              </w:rPr>
              <w:t xml:space="preserve">of </w:t>
            </w:r>
            <w:r>
              <w:rPr>
                <w:rFonts w:hint="default" w:ascii="Times New Roman" w:hAnsi="Times New Roman" w:eastAsia="Malgun Gothic" w:cs="Times New Roman"/>
                <w:b/>
                <w:bCs/>
                <w:color w:val="auto"/>
                <w:sz w:val="20"/>
                <w:szCs w:val="20"/>
                <w:lang w:val="en-US" w:eastAsia="zh-CN"/>
              </w:rPr>
              <w:t>Supported functionalities</w:t>
            </w:r>
            <w:r>
              <w:rPr>
                <w:rFonts w:hint="default" w:ascii="Times New Roman" w:hAnsi="Times New Roman" w:eastAsia="Malgun Gothic" w:cs="Times New Roman"/>
                <w:color w:val="auto"/>
                <w:sz w:val="20"/>
                <w:szCs w:val="20"/>
                <w:lang w:val="en-US" w:eastAsia="zh-CN"/>
              </w:rPr>
              <w:t xml:space="preserve"> may refer to UE-capability information/parameters i.e., Rel-19 AI/ML-enabled Features/FGs</w:t>
            </w:r>
            <w:r>
              <w:rPr>
                <w:rFonts w:hint="default" w:ascii="Times New Roman" w:hAnsi="Times New Roman" w:cs="Times New Roman"/>
                <w:color w:val="auto"/>
                <w:sz w:val="20"/>
                <w:szCs w:val="20"/>
                <w:lang w:val="en-US" w:eastAsia="zh-CN"/>
              </w:rPr>
              <w:t xml:space="preserve"> </w:t>
            </w:r>
          </w:p>
          <w:p w14:paraId="15B8C414">
            <w:pPr>
              <w:numPr>
                <w:ilvl w:val="0"/>
                <w:numId w:val="7"/>
              </w:numPr>
              <w:spacing w:before="156" w:after="156" w:line="276" w:lineRule="auto"/>
              <w:rPr>
                <w:rFonts w:hint="default" w:ascii="Times New Roman" w:hAnsi="Times New Roman" w:eastAsia="Malgun Gothic" w:cs="Times New Roman"/>
                <w:color w:val="auto"/>
                <w:sz w:val="20"/>
                <w:szCs w:val="20"/>
                <w:lang w:val="en-US" w:eastAsia="zh-CN"/>
              </w:rPr>
            </w:pPr>
            <w:r>
              <w:rPr>
                <w:rFonts w:hint="default" w:ascii="Times New Roman" w:hAnsi="Times New Roman" w:eastAsia="Malgun Gothic" w:cs="Times New Roman"/>
                <w:color w:val="auto"/>
                <w:sz w:val="20"/>
                <w:szCs w:val="20"/>
                <w:lang w:val="en-US" w:eastAsia="zh-CN"/>
              </w:rPr>
              <w:t>The concept/terminology “ functionality</w:t>
            </w:r>
            <w:r>
              <w:rPr>
                <w:rFonts w:hint="default" w:ascii="Times New Roman" w:hAnsi="Times New Roman" w:cs="Times New Roman"/>
                <w:color w:val="auto"/>
                <w:sz w:val="20"/>
                <w:szCs w:val="20"/>
                <w:lang w:eastAsia="zh-CN"/>
              </w:rPr>
              <w:t xml:space="preserve">” </w:t>
            </w:r>
            <w:r>
              <w:rPr>
                <w:rFonts w:hint="default" w:ascii="Times New Roman" w:hAnsi="Times New Roman" w:eastAsia="Malgun Gothic" w:cs="Times New Roman"/>
                <w:color w:val="auto"/>
                <w:sz w:val="20"/>
                <w:szCs w:val="20"/>
                <w:lang w:val="en-US" w:eastAsia="zh-CN"/>
              </w:rPr>
              <w:t xml:space="preserve"> of </w:t>
            </w:r>
            <w:r>
              <w:rPr>
                <w:rFonts w:hint="default" w:ascii="Times New Roman" w:hAnsi="Times New Roman" w:eastAsia="Malgun Gothic" w:cs="Times New Roman"/>
                <w:b/>
                <w:bCs/>
                <w:color w:val="auto"/>
                <w:sz w:val="20"/>
                <w:szCs w:val="20"/>
                <w:lang w:val="en-US" w:eastAsia="zh-CN"/>
              </w:rPr>
              <w:t>Applicable functionalities</w:t>
            </w:r>
            <w:r>
              <w:rPr>
                <w:rFonts w:hint="default" w:ascii="Times New Roman" w:hAnsi="Times New Roman" w:eastAsia="Malgun Gothic" w:cs="Times New Roman"/>
                <w:color w:val="auto"/>
                <w:sz w:val="20"/>
                <w:szCs w:val="20"/>
                <w:lang w:val="en-US" w:eastAsia="zh-CN"/>
              </w:rPr>
              <w:t xml:space="preserve"> may refer to </w:t>
            </w:r>
            <w:r>
              <w:rPr>
                <w:rFonts w:hint="default" w:ascii="Times New Roman" w:hAnsi="Times New Roman" w:eastAsia="Malgun Gothic" w:cs="Times New Roman"/>
                <w:i/>
                <w:iCs/>
                <w:color w:val="auto"/>
                <w:sz w:val="20"/>
                <w:szCs w:val="20"/>
                <w:lang w:val="en-US" w:eastAsia="zh-CN"/>
              </w:rPr>
              <w:t>CSI-ReportConfig</w:t>
            </w:r>
            <w:r>
              <w:rPr>
                <w:rFonts w:hint="default" w:ascii="Times New Roman" w:hAnsi="Times New Roman" w:eastAsia="Malgun Gothic" w:cs="Times New Roman"/>
                <w:color w:val="auto"/>
                <w:sz w:val="20"/>
                <w:szCs w:val="20"/>
                <w:lang w:val="en-US" w:eastAsia="zh-CN"/>
              </w:rPr>
              <w:t xml:space="preserve"> for inference configuration or a set of inference related parameters </w:t>
            </w:r>
          </w:p>
          <w:p w14:paraId="6C46E76A">
            <w:pPr>
              <w:numPr>
                <w:ilvl w:val="0"/>
                <w:numId w:val="7"/>
              </w:numPr>
              <w:tabs>
                <w:tab w:val="left" w:pos="360"/>
              </w:tabs>
              <w:spacing w:before="156" w:after="156" w:line="276" w:lineRule="auto"/>
              <w:rPr>
                <w:rFonts w:hint="default" w:ascii="Times New Roman" w:hAnsi="Times New Roman" w:eastAsia="Malgun Gothic" w:cs="Times New Roman"/>
                <w:color w:val="auto"/>
                <w:sz w:val="20"/>
                <w:szCs w:val="20"/>
                <w:lang w:val="en-US" w:eastAsia="zh-CN"/>
              </w:rPr>
            </w:pPr>
            <w:r>
              <w:rPr>
                <w:rFonts w:hint="default" w:ascii="Times New Roman" w:hAnsi="Times New Roman" w:eastAsia="Malgun Gothic" w:cs="Times New Roman"/>
                <w:color w:val="auto"/>
                <w:sz w:val="20"/>
                <w:szCs w:val="20"/>
                <w:lang w:val="en-US" w:eastAsia="zh-CN"/>
              </w:rPr>
              <w:t xml:space="preserve">The </w:t>
            </w:r>
            <w:r>
              <w:rPr>
                <w:rFonts w:hint="default" w:ascii="Times New Roman" w:hAnsi="Times New Roman" w:eastAsia="Malgun Gothic" w:cs="Times New Roman"/>
                <w:b/>
                <w:bCs/>
                <w:color w:val="auto"/>
                <w:sz w:val="20"/>
                <w:szCs w:val="20"/>
                <w:lang w:val="en-US" w:eastAsia="zh-CN"/>
              </w:rPr>
              <w:t>Activated functionalities</w:t>
            </w:r>
            <w:r>
              <w:rPr>
                <w:rFonts w:hint="default" w:ascii="Times New Roman" w:hAnsi="Times New Roman" w:eastAsia="Malgun Gothic" w:cs="Times New Roman"/>
                <w:color w:val="auto"/>
                <w:sz w:val="20"/>
                <w:szCs w:val="20"/>
                <w:lang w:val="en-US" w:eastAsia="zh-CN"/>
              </w:rPr>
              <w:t xml:space="preserve"> may be enabled based on CSI framework.</w:t>
            </w:r>
          </w:p>
          <w:p w14:paraId="7728B787">
            <w:pPr>
              <w:ind w:left="0" w:firstLine="0"/>
              <w:rPr>
                <w:rFonts w:ascii="Arial" w:hAnsi="Arial" w:cs="Arial"/>
                <w:strike/>
                <w:color w:val="FF0000"/>
                <w:sz w:val="18"/>
                <w:szCs w:val="18"/>
                <w:lang w:eastAsia="zh-CN"/>
              </w:rPr>
            </w:pPr>
            <w:r>
              <w:rPr>
                <w:rFonts w:hint="default" w:ascii="Times New Roman" w:hAnsi="Times New Roman" w:cs="Times New Roman"/>
                <w:color w:val="auto"/>
                <w:sz w:val="20"/>
                <w:szCs w:val="20"/>
                <w:lang w:eastAsia="zh-CN"/>
              </w:rPr>
              <w:t xml:space="preserve">Therefore, the meaning and the granularity of “functionality” for </w:t>
            </w:r>
            <w:r>
              <w:rPr>
                <w:rFonts w:hint="default" w:ascii="Times New Roman" w:hAnsi="Times New Roman" w:cs="Times New Roman"/>
                <w:b/>
                <w:bCs/>
                <w:color w:val="auto"/>
                <w:sz w:val="20"/>
                <w:szCs w:val="20"/>
                <w:lang w:eastAsia="zh-CN"/>
              </w:rPr>
              <w:t xml:space="preserve">Applicable functionalities, Activated functionalities and Supported functionalities </w:t>
            </w:r>
            <w:r>
              <w:rPr>
                <w:rFonts w:hint="default" w:ascii="Times New Roman" w:hAnsi="Times New Roman" w:cs="Times New Roman"/>
                <w:color w:val="auto"/>
                <w:sz w:val="20"/>
                <w:szCs w:val="20"/>
                <w:lang w:eastAsia="zh-CN"/>
              </w:rPr>
              <w:t xml:space="preserve">may or may not be the same. </w:t>
            </w:r>
          </w:p>
          <w:p w14:paraId="0B3CFDE8">
            <w:pPr>
              <w:spacing w:after="180" w:line="240" w:lineRule="exact"/>
              <w:rPr>
                <w:rFonts w:hint="eastAsia" w:ascii="Times New Roman" w:hAnsi="Times New Roman" w:eastAsia="等线"/>
                <w:bCs/>
                <w:iCs/>
                <w:sz w:val="20"/>
                <w:szCs w:val="20"/>
                <w:vertAlign w:val="baseline"/>
                <w:lang w:val="en-US" w:eastAsia="zh-CN"/>
              </w:rPr>
            </w:pPr>
          </w:p>
          <w:p w14:paraId="069FF023">
            <w:pPr>
              <w:spacing w:after="180" w:line="240" w:lineRule="exact"/>
              <w:rPr>
                <w:rFonts w:hint="eastAsia"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RAN2 agreements in RAN2 #127</w:t>
            </w:r>
          </w:p>
          <w:p w14:paraId="0E3DAFB8">
            <w:pPr>
              <w:spacing w:after="180" w:line="240" w:lineRule="exact"/>
              <w:rPr>
                <w:rFonts w:hint="default" w:ascii="Times New Roman" w:hAnsi="Times New Roman" w:eastAsia="等线"/>
                <w:bCs/>
                <w:iCs/>
                <w:sz w:val="20"/>
                <w:szCs w:val="20"/>
                <w:vertAlign w:val="baseline"/>
                <w:lang w:val="en-US" w:eastAsia="zh-CN"/>
              </w:rPr>
            </w:pPr>
            <w:r>
              <w:rPr>
                <w:rFonts w:hint="default" w:ascii="Times New Roman" w:hAnsi="Times New Roman" w:eastAsia="等线"/>
                <w:bCs/>
                <w:iCs/>
                <w:sz w:val="20"/>
                <w:szCs w:val="20"/>
                <w:vertAlign w:val="baseline"/>
                <w:lang w:val="en-US" w:eastAsia="zh-CN"/>
              </w:rPr>
              <w:t>Agreements on definitions</w:t>
            </w:r>
          </w:p>
          <w:p w14:paraId="2A119A7F">
            <w:pPr>
              <w:numPr>
                <w:ilvl w:val="0"/>
                <w:numId w:val="8"/>
              </w:numPr>
              <w:spacing w:after="180" w:line="240" w:lineRule="exact"/>
              <w:ind w:left="425" w:leftChars="0" w:hanging="425" w:firstLineChars="0"/>
              <w:rPr>
                <w:rFonts w:hint="default" w:ascii="Times New Roman" w:hAnsi="Times New Roman" w:eastAsia="等线"/>
                <w:bCs/>
                <w:iCs/>
                <w:sz w:val="20"/>
                <w:szCs w:val="20"/>
                <w:vertAlign w:val="baseline"/>
                <w:lang w:val="en-US" w:eastAsia="zh-CN"/>
              </w:rPr>
            </w:pPr>
            <w:r>
              <w:rPr>
                <w:rFonts w:hint="default" w:ascii="Times New Roman" w:hAnsi="Times New Roman" w:eastAsia="等线"/>
                <w:b/>
                <w:bCs w:val="0"/>
                <w:iCs/>
                <w:color w:val="auto"/>
                <w:sz w:val="20"/>
                <w:szCs w:val="20"/>
                <w:vertAlign w:val="baseline"/>
                <w:lang w:val="en-US" w:eastAsia="zh-CN"/>
              </w:rPr>
              <w:t>Supported functionalities</w:t>
            </w:r>
            <w:r>
              <w:rPr>
                <w:rFonts w:hint="default" w:ascii="Times New Roman" w:hAnsi="Times New Roman" w:eastAsia="等线"/>
                <w:bCs/>
                <w:iCs/>
                <w:sz w:val="20"/>
                <w:szCs w:val="20"/>
                <w:vertAlign w:val="baseline"/>
                <w:lang w:val="en-US" w:eastAsia="zh-CN"/>
              </w:rPr>
              <w:t xml:space="preserve"> refer to functionalities that UE can indicate by using UE capability information (via RRC/LPP signalling)</w:t>
            </w:r>
          </w:p>
          <w:p w14:paraId="0DAB0063">
            <w:pPr>
              <w:numPr>
                <w:ilvl w:val="0"/>
                <w:numId w:val="8"/>
              </w:numPr>
              <w:spacing w:after="180" w:line="240" w:lineRule="exact"/>
              <w:ind w:left="425" w:leftChars="0" w:hanging="425" w:firstLineChars="0"/>
              <w:rPr>
                <w:rFonts w:hint="default" w:ascii="Times New Roman" w:hAnsi="Times New Roman" w:eastAsia="等线"/>
                <w:bCs/>
                <w:iCs/>
                <w:sz w:val="20"/>
                <w:szCs w:val="20"/>
                <w:vertAlign w:val="baseline"/>
                <w:lang w:val="en-US" w:eastAsia="zh-CN"/>
              </w:rPr>
            </w:pPr>
            <w:r>
              <w:rPr>
                <w:rFonts w:hint="default" w:ascii="Times New Roman" w:hAnsi="Times New Roman" w:eastAsia="等线"/>
                <w:b/>
                <w:bCs w:val="0"/>
                <w:iCs/>
                <w:sz w:val="20"/>
                <w:szCs w:val="20"/>
                <w:vertAlign w:val="baseline"/>
                <w:lang w:val="en-US" w:eastAsia="zh-CN"/>
              </w:rPr>
              <w:t>Applicable functionalities</w:t>
            </w:r>
            <w:r>
              <w:rPr>
                <w:rFonts w:hint="default" w:ascii="Times New Roman" w:hAnsi="Times New Roman" w:eastAsia="等线"/>
                <w:bCs/>
                <w:iCs/>
                <w:sz w:val="20"/>
                <w:szCs w:val="20"/>
                <w:vertAlign w:val="baseline"/>
                <w:lang w:val="en-US" w:eastAsia="zh-CN"/>
              </w:rPr>
              <w:t xml:space="preserve"> refers to functionalities that the UE is ready to apply for inference</w:t>
            </w:r>
          </w:p>
          <w:p w14:paraId="737BC70C">
            <w:pPr>
              <w:numPr>
                <w:ilvl w:val="0"/>
                <w:numId w:val="8"/>
              </w:numPr>
              <w:spacing w:after="180" w:line="240" w:lineRule="exact"/>
              <w:ind w:left="425" w:leftChars="0" w:hanging="425" w:firstLineChars="0"/>
              <w:rPr>
                <w:rFonts w:hint="default" w:ascii="Times New Roman" w:hAnsi="Times New Roman" w:eastAsia="等线"/>
                <w:bCs/>
                <w:iCs/>
                <w:sz w:val="20"/>
                <w:szCs w:val="20"/>
                <w:vertAlign w:val="baseline"/>
                <w:lang w:val="en-US" w:eastAsia="zh-CN"/>
              </w:rPr>
            </w:pPr>
            <w:r>
              <w:rPr>
                <w:rFonts w:hint="default" w:ascii="Times New Roman" w:hAnsi="Times New Roman" w:eastAsia="等线"/>
                <w:b/>
                <w:bCs w:val="0"/>
                <w:iCs/>
                <w:sz w:val="20"/>
                <w:szCs w:val="20"/>
                <w:vertAlign w:val="baseline"/>
                <w:lang w:val="en-US" w:eastAsia="zh-CN"/>
              </w:rPr>
              <w:t>Activated functionalities</w:t>
            </w:r>
            <w:r>
              <w:rPr>
                <w:rFonts w:hint="default" w:ascii="Times New Roman" w:hAnsi="Times New Roman" w:eastAsia="等线"/>
                <w:bCs/>
                <w:iCs/>
                <w:sz w:val="20"/>
                <w:szCs w:val="20"/>
                <w:vertAlign w:val="baseline"/>
                <w:lang w:val="en-US" w:eastAsia="zh-CN"/>
              </w:rPr>
              <w:t xml:space="preserve"> refers to functionalities already enabled for performing inference</w:t>
            </w:r>
          </w:p>
        </w:tc>
      </w:tr>
    </w:tbl>
    <w:p w14:paraId="2FC31B41">
      <w:pPr>
        <w:spacing w:after="180" w:line="240" w:lineRule="exact"/>
        <w:rPr>
          <w:rFonts w:hint="default" w:ascii="Times New Roman" w:hAnsi="Times New Roman" w:eastAsia="等线"/>
          <w:bCs/>
          <w:iCs/>
          <w:sz w:val="20"/>
          <w:szCs w:val="20"/>
          <w:lang w:val="en-US" w:eastAsia="zh-CN"/>
        </w:rPr>
      </w:pPr>
    </w:p>
    <w:p w14:paraId="39B88E3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Network sends </w:t>
      </w:r>
      <w:r>
        <w:rPr>
          <w:rFonts w:hint="eastAsia" w:ascii="Times New Roman" w:hAnsi="Times New Roman" w:eastAsia="等线"/>
          <w:bCs/>
          <w:i/>
          <w:iCs w:val="0"/>
          <w:sz w:val="20"/>
          <w:szCs w:val="20"/>
          <w:lang w:val="en-US" w:eastAsia="zh-CN"/>
        </w:rPr>
        <w:t>UECapabilityEnqiry</w:t>
      </w:r>
      <w:r>
        <w:rPr>
          <w:rFonts w:hint="eastAsia" w:ascii="Times New Roman" w:hAnsi="Times New Roman" w:eastAsia="等线"/>
          <w:bCs/>
          <w:iCs/>
          <w:sz w:val="20"/>
          <w:szCs w:val="20"/>
          <w:lang w:val="en-US" w:eastAsia="zh-CN"/>
        </w:rPr>
        <w:t xml:space="preserve"> message to initiate the procedure to a UE reporting its AI/ML supported functionalities in step 1. UE sends </w:t>
      </w:r>
      <w:r>
        <w:rPr>
          <w:rFonts w:hint="eastAsia" w:ascii="Times New Roman" w:hAnsi="Times New Roman" w:eastAsia="等线"/>
          <w:bCs/>
          <w:i/>
          <w:iCs w:val="0"/>
          <w:sz w:val="20"/>
          <w:szCs w:val="20"/>
          <w:lang w:val="en-US" w:eastAsia="zh-CN"/>
        </w:rPr>
        <w:t>UECapablityInformation</w:t>
      </w:r>
      <w:r>
        <w:rPr>
          <w:rFonts w:hint="eastAsia" w:ascii="Times New Roman" w:hAnsi="Times New Roman" w:eastAsia="等线"/>
          <w:bCs/>
          <w:iCs/>
          <w:sz w:val="20"/>
          <w:szCs w:val="20"/>
          <w:lang w:val="en-US" w:eastAsia="zh-CN"/>
        </w:rPr>
        <w:t xml:space="preserve"> message to network, containing supported functionalities at the UE side. The applicable functionalities can be sent to network in step 3 or updated in UAI. The funtionalily can be activated after step 3 or step 5 pending on whether full inference configuration is signalled in step 3 or step 5. The UE applicable functionalities can be activated autonomously by UE or activated by network indication.</w:t>
      </w:r>
    </w:p>
    <w:p w14:paraId="250DA456">
      <w:pPr>
        <w:spacing w:after="180" w:line="240" w:lineRule="exact"/>
        <w:rPr>
          <w:rFonts w:hint="eastAsia" w:ascii="Times New Roman" w:hAnsi="Times New Roman" w:eastAsia="等线"/>
          <w:bCs/>
          <w:iCs/>
          <w:sz w:val="20"/>
          <w:szCs w:val="20"/>
          <w:lang w:val="en-US" w:eastAsia="zh-CN"/>
        </w:rPr>
      </w:pPr>
    </w:p>
    <w:p w14:paraId="161F4649">
      <w:pPr>
        <w:overflowPunct w:val="0"/>
        <w:autoSpaceDE w:val="0"/>
        <w:autoSpaceDN w:val="0"/>
        <w:adjustRightInd w:val="0"/>
        <w:spacing w:after="180" w:line="240" w:lineRule="auto"/>
        <w:jc w:val="center"/>
        <w:textAlignment w:val="baseline"/>
        <w:rPr>
          <w:rFonts w:ascii="Times New Roman" w:hAnsi="Times New Roman" w:eastAsia="Times New Roman" w:cs="Times New Roman"/>
          <w:kern w:val="0"/>
          <w:sz w:val="20"/>
          <w:szCs w:val="20"/>
          <w:lang w:val="en-GB"/>
          <w14:ligatures w14:val="none"/>
        </w:rPr>
      </w:pPr>
      <w:r>
        <w:object>
          <v:shape id="_x0000_i1025" o:spt="75" type="#_x0000_t75" style="height:174pt;width:222.7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723C5B1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RAN1 and RAN2 agreements, it can be seen that the interaction between network and UE is in the granularity of funtionality. From RAN4 point of view, the requirements/tests are defined at least based on funtionality (funtionality refer to AI/ML-enabled Feature/FG) .</w:t>
      </w:r>
    </w:p>
    <w:p w14:paraId="1682F17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RAN4 requirements are specified at least based on functionality (funtionality refer to AI/ML-enabled Feature/FG)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CC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B049CEB">
            <w:pPr>
              <w:rPr>
                <w:rFonts w:hint="default" w:ascii="Times New Roman" w:hAnsi="Times New Roman" w:cs="Times New Roman"/>
                <w:b/>
                <w:i/>
                <w:iCs/>
                <w:sz w:val="20"/>
                <w:szCs w:val="20"/>
                <w:u w:val="single"/>
                <w:lang w:eastAsia="ko-KR"/>
              </w:rPr>
            </w:pPr>
            <w:r>
              <w:rPr>
                <w:rFonts w:hint="default" w:ascii="Times New Roman" w:hAnsi="Times New Roman" w:cs="Times New Roman"/>
                <w:b/>
                <w:sz w:val="20"/>
                <w:szCs w:val="20"/>
                <w:u w:val="single"/>
                <w:lang w:eastAsia="ko-KR"/>
              </w:rPr>
              <w:t xml:space="preserve">Issue 1-1-2: How many requirements to define per </w:t>
            </w:r>
            <w:r>
              <w:rPr>
                <w:rFonts w:hint="default" w:ascii="Times New Roman" w:hAnsi="Times New Roman" w:cs="Times New Roman"/>
                <w:b/>
                <w:i/>
                <w:iCs/>
                <w:sz w:val="20"/>
                <w:szCs w:val="20"/>
                <w:u w:val="single"/>
                <w:lang w:eastAsia="ko-KR"/>
              </w:rPr>
              <w:t>requirement set</w:t>
            </w:r>
          </w:p>
          <w:p w14:paraId="4B049233">
            <w:pPr>
              <w:pStyle w:val="10"/>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09699C87">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To determine how many requirements to define, a study is needed of how AI/ML behaviour changes with different conditions (Apple proposal 3, Nokia proposal 4)</w:t>
            </w:r>
          </w:p>
          <w:p w14:paraId="33A68D08">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Different test configurations/parameters are used for tests, at least for generalization (CMCC proposal 2).</w:t>
            </w:r>
          </w:p>
          <w:p w14:paraId="177D4945">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It is necessary to ensure that the testing avoids the overfitting problem; if not other solutions may be needed (Korea test laboratory proposals 4 and 5)</w:t>
            </w:r>
          </w:p>
          <w:p w14:paraId="3C709BFB">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Create a mixed test-set for generalization testing, based on UE capability signaling configuration report (Apple proposals 7, 8)</w:t>
            </w:r>
          </w:p>
          <w:p w14:paraId="484124E3">
            <w:pPr>
              <w:pStyle w:val="10"/>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lang w:eastAsia="zh-CN"/>
              </w:rPr>
              <w:t>Option 5: Scenarios not identified in the capability report are other scenarios for test (ZTE)</w:t>
            </w:r>
          </w:p>
        </w:tc>
      </w:tr>
    </w:tbl>
    <w:p w14:paraId="12EA3570">
      <w:pPr>
        <w:spacing w:after="180" w:line="240" w:lineRule="exact"/>
        <w:rPr>
          <w:rFonts w:hint="eastAsia" w:ascii="Times New Roman" w:hAnsi="Times New Roman" w:eastAsia="等线"/>
          <w:bCs/>
          <w:iCs/>
          <w:sz w:val="20"/>
          <w:szCs w:val="20"/>
          <w:lang w:val="en-US" w:eastAsia="zh-CN"/>
        </w:rPr>
      </w:pPr>
    </w:p>
    <w:p w14:paraId="1811963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previous meeting, the testing goals are updated as to verify whether the minimum performance of AI/ML functionality/feature can be achieved, but FFS </w:t>
      </w:r>
      <w:r>
        <w:rPr>
          <w:rFonts w:hint="default" w:ascii="Times New Roman" w:hAnsi="Times New Roman" w:cs="Times New Roman"/>
          <w:sz w:val="20"/>
          <w:szCs w:val="20"/>
        </w:rPr>
        <w:t>on whether and how many different test configurations/parameters are used for tests.</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Our view is that it is necessary to consider </w:t>
      </w:r>
      <w:r>
        <w:rPr>
          <w:rFonts w:hint="default" w:ascii="Times New Roman" w:hAnsi="Times New Roman" w:cs="Times New Roman"/>
          <w:sz w:val="20"/>
          <w:szCs w:val="20"/>
        </w:rPr>
        <w:t>different test configurations/parameters</w:t>
      </w:r>
      <w:r>
        <w:rPr>
          <w:rFonts w:hint="eastAsia" w:ascii="Times New Roman" w:hAnsi="Times New Roman" w:cs="Times New Roman"/>
          <w:sz w:val="20"/>
          <w:szCs w:val="20"/>
          <w:lang w:val="en-US" w:eastAsia="zh-CN"/>
        </w:rPr>
        <w:t xml:space="preserve"> at least for generalization. </w:t>
      </w:r>
      <w:r>
        <w:rPr>
          <w:rFonts w:hint="eastAsia" w:ascii="Times New Roman" w:hAnsi="Times New Roman" w:eastAsia="等线"/>
          <w:bCs/>
          <w:iCs/>
          <w:sz w:val="20"/>
          <w:szCs w:val="20"/>
          <w:lang w:val="en-US" w:eastAsia="zh-CN"/>
        </w:rPr>
        <w:t>According to Rel-18 discussion, the goals of generalization test are to verify whether the minimum level of performance of AI/ML functionality/model can be achieved/maintain under the identified scenarios and/or configurations, while the performance won</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t be significantly degraded in other scenarios and/or configurations. </w:t>
      </w:r>
    </w:p>
    <w:p w14:paraId="7D4DE91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RAN1 evaluation, generalization is impacted by many factors. In high level, according to TR 38.843, deployment scenarios, UE distributions, carrier frequency, TxRU mappings are considered for generalization of CSI compression. And CSI payload sizes, Tx port numbers, are considered for scalability evaluations for CSI compression. For beam management, the performance is impacted by deployment scenarios, UE mobility, etc. Similar situation for positioning. These factors which have impact on performance need to be considered in define requirements</w:t>
      </w:r>
    </w:p>
    <w:p w14:paraId="603AC1A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that </w:t>
      </w:r>
      <w:r>
        <w:rPr>
          <w:rFonts w:hint="default" w:ascii="Times New Roman" w:hAnsi="Times New Roman" w:cs="Times New Roman"/>
          <w:b/>
          <w:bCs w:val="0"/>
          <w:i/>
          <w:iCs w:val="0"/>
          <w:sz w:val="20"/>
          <w:szCs w:val="20"/>
        </w:rPr>
        <w:t xml:space="preserve">different configurations/parameters are </w:t>
      </w:r>
      <w:r>
        <w:rPr>
          <w:rFonts w:hint="eastAsia" w:ascii="Times New Roman" w:hAnsi="Times New Roman" w:cs="Times New Roman"/>
          <w:b/>
          <w:bCs w:val="0"/>
          <w:i/>
          <w:iCs w:val="0"/>
          <w:sz w:val="20"/>
          <w:szCs w:val="20"/>
          <w:lang w:val="en-US" w:eastAsia="zh-CN"/>
        </w:rPr>
        <w:t>considered</w:t>
      </w:r>
      <w:r>
        <w:rPr>
          <w:rFonts w:hint="default" w:ascii="Times New Roman" w:hAnsi="Times New Roman" w:cs="Times New Roman"/>
          <w:b/>
          <w:bCs w:val="0"/>
          <w:i/>
          <w:iCs w:val="0"/>
          <w:sz w:val="20"/>
          <w:szCs w:val="20"/>
        </w:rPr>
        <w:t xml:space="preserve"> for </w:t>
      </w:r>
      <w:r>
        <w:rPr>
          <w:rFonts w:hint="eastAsia" w:ascii="Times New Roman" w:hAnsi="Times New Roman" w:cs="Times New Roman"/>
          <w:b/>
          <w:bCs w:val="0"/>
          <w:i/>
          <w:iCs w:val="0"/>
          <w:sz w:val="20"/>
          <w:szCs w:val="20"/>
          <w:lang w:val="en-US" w:eastAsia="zh-CN"/>
        </w:rPr>
        <w:t>requirements/tests definition.</w:t>
      </w:r>
    </w:p>
    <w:p w14:paraId="3E8F90AF">
      <w:pPr>
        <w:spacing w:after="180" w:line="240" w:lineRule="exact"/>
        <w:rPr>
          <w:rFonts w:hint="eastAsia"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sz w:val="20"/>
          <w:szCs w:val="20"/>
        </w:rPr>
        <w:t>. The proposals are:</w:t>
      </w:r>
    </w:p>
    <w:p w14:paraId="39D8AD6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RAN4 requirements are specified at least based on functionality (funtionality refer to AI/ML-enabled Feature/FG)   </w:t>
      </w:r>
    </w:p>
    <w:p w14:paraId="27DD34BF">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2: it is proposed that </w:t>
      </w:r>
      <w:r>
        <w:rPr>
          <w:rFonts w:hint="default" w:ascii="Times New Roman" w:hAnsi="Times New Roman" w:cs="Times New Roman"/>
          <w:b/>
          <w:bCs w:val="0"/>
          <w:i/>
          <w:iCs w:val="0"/>
          <w:sz w:val="20"/>
          <w:szCs w:val="20"/>
        </w:rPr>
        <w:t xml:space="preserve">different configurations/parameters are </w:t>
      </w:r>
      <w:r>
        <w:rPr>
          <w:rFonts w:hint="eastAsia" w:ascii="Times New Roman" w:hAnsi="Times New Roman" w:cs="Times New Roman"/>
          <w:b/>
          <w:bCs w:val="0"/>
          <w:i/>
          <w:iCs w:val="0"/>
          <w:sz w:val="20"/>
          <w:szCs w:val="20"/>
          <w:lang w:val="en-US" w:eastAsia="zh-CN"/>
        </w:rPr>
        <w:t>considered</w:t>
      </w:r>
      <w:r>
        <w:rPr>
          <w:rFonts w:hint="default" w:ascii="Times New Roman" w:hAnsi="Times New Roman" w:cs="Times New Roman"/>
          <w:b/>
          <w:bCs w:val="0"/>
          <w:i/>
          <w:iCs w:val="0"/>
          <w:sz w:val="20"/>
          <w:szCs w:val="20"/>
        </w:rPr>
        <w:t xml:space="preserve"> for </w:t>
      </w:r>
      <w:r>
        <w:rPr>
          <w:rFonts w:hint="eastAsia" w:ascii="Times New Roman" w:hAnsi="Times New Roman" w:cs="Times New Roman"/>
          <w:b/>
          <w:bCs w:val="0"/>
          <w:i/>
          <w:iCs w:val="0"/>
          <w:sz w:val="20"/>
          <w:szCs w:val="20"/>
          <w:lang w:val="en-US" w:eastAsia="zh-CN"/>
        </w:rPr>
        <w:t>requirements/tests definition.</w:t>
      </w: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2274A1A">
      <w:pPr>
        <w:pStyle w:val="12"/>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250308, </w:t>
      </w:r>
      <w:r>
        <w:rPr>
          <w:rFonts w:hint="eastAsia" w:ascii="Times" w:hAnsi="Times" w:eastAsia="宋体"/>
          <w:b w:val="0"/>
          <w:sz w:val="20"/>
          <w:lang w:eastAsia="zh-CN"/>
        </w:rPr>
        <w:t>Revised SID: Study on Artificial Intelligence (AI)/Machine Learning (ML) for NR air interface Phase 2</w:t>
      </w:r>
    </w:p>
    <w:p w14:paraId="095CF299">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4B1FD71B">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78F707CA">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F914823">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3C3D9D5E">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R5-24</w:t>
      </w:r>
      <w:r>
        <w:rPr>
          <w:rFonts w:hint="eastAsia" w:ascii="Times" w:hAnsi="Times" w:eastAsia="宋体"/>
          <w:b w:val="0"/>
          <w:sz w:val="20"/>
          <w:lang w:val="en-US" w:eastAsia="zh-CN"/>
        </w:rPr>
        <w:t>7647, Discussion on handling of AI/ML in RAN5, China Mobile, AT&amp;T, CAICT, Ericsson, Huawei, MediaTek, Nokia, ZTE</w:t>
      </w:r>
    </w:p>
    <w:p w14:paraId="6004D2CA">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2934856">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FB9B0FB">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7607198C">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37C6161F">
      <w:pPr>
        <w:pStyle w:val="12"/>
        <w:framePr w:wrap="auto" w:vAnchor="margin" w:hAnchor="text" w:yAlign="inline"/>
        <w:ind w:right="400"/>
        <w:jc w:val="both"/>
        <w:rPr>
          <w:rFonts w:ascii="Times" w:hAnsi="Times" w:eastAsia="宋体"/>
          <w:b w:val="0"/>
          <w:sz w:val="20"/>
          <w:lang w:eastAsia="zh-CN"/>
        </w:rPr>
      </w:pPr>
    </w:p>
    <w:p w14:paraId="32EF543F">
      <w:pPr>
        <w:pStyle w:val="12"/>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F0B4D"/>
    <w:multiLevelType w:val="singleLevel"/>
    <w:tmpl w:val="887F0B4D"/>
    <w:lvl w:ilvl="0" w:tentative="0">
      <w:start w:val="1"/>
      <w:numFmt w:val="decimal"/>
      <w:lvlText w:val="%1."/>
      <w:lvlJc w:val="left"/>
      <w:pPr>
        <w:ind w:left="425" w:hanging="425"/>
      </w:pPr>
      <w:rPr>
        <w:rFonts w:hint="default"/>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3B64DD"/>
    <w:multiLevelType w:val="multilevel"/>
    <w:tmpl w:val="5D3B64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3"/>
  </w:num>
  <w:num w:numId="3">
    <w:abstractNumId w:val="7"/>
  </w:num>
  <w:num w:numId="4">
    <w:abstractNumId w:val="2"/>
  </w:num>
  <w:num w:numId="5">
    <w:abstractNumId w:val="4"/>
  </w:num>
  <w:num w:numId="6">
    <w:abstractNumId w:val="5"/>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030A6"/>
    <w:rsid w:val="08244E9F"/>
    <w:rsid w:val="08C01C06"/>
    <w:rsid w:val="0A573618"/>
    <w:rsid w:val="0F4C27CC"/>
    <w:rsid w:val="0FA30B04"/>
    <w:rsid w:val="0FE50EF5"/>
    <w:rsid w:val="10E51AC5"/>
    <w:rsid w:val="111346BF"/>
    <w:rsid w:val="11A46535"/>
    <w:rsid w:val="127D6382"/>
    <w:rsid w:val="149A59CD"/>
    <w:rsid w:val="15685863"/>
    <w:rsid w:val="15C5068C"/>
    <w:rsid w:val="18B21538"/>
    <w:rsid w:val="224A2F3D"/>
    <w:rsid w:val="2ECF7ACB"/>
    <w:rsid w:val="2F3D15B9"/>
    <w:rsid w:val="31890F43"/>
    <w:rsid w:val="34453CA2"/>
    <w:rsid w:val="35D22FBC"/>
    <w:rsid w:val="39C97388"/>
    <w:rsid w:val="3BE14428"/>
    <w:rsid w:val="3BFF4ED4"/>
    <w:rsid w:val="3D080568"/>
    <w:rsid w:val="3DEF01B7"/>
    <w:rsid w:val="45842A0A"/>
    <w:rsid w:val="458E4192"/>
    <w:rsid w:val="46411F54"/>
    <w:rsid w:val="47E11C0A"/>
    <w:rsid w:val="495367D8"/>
    <w:rsid w:val="4D3D03C8"/>
    <w:rsid w:val="50327120"/>
    <w:rsid w:val="51226A29"/>
    <w:rsid w:val="52C60904"/>
    <w:rsid w:val="5516017D"/>
    <w:rsid w:val="594E7379"/>
    <w:rsid w:val="6332564A"/>
    <w:rsid w:val="64BB2C01"/>
    <w:rsid w:val="6AC458C1"/>
    <w:rsid w:val="6C966FB6"/>
    <w:rsid w:val="6D205895"/>
    <w:rsid w:val="6F3538B4"/>
    <w:rsid w:val="6F7442E7"/>
    <w:rsid w:val="6F984846"/>
    <w:rsid w:val="705A36F0"/>
    <w:rsid w:val="715440AF"/>
    <w:rsid w:val="74AE053B"/>
    <w:rsid w:val="753E3654"/>
    <w:rsid w:val="75886832"/>
    <w:rsid w:val="768B4F64"/>
    <w:rsid w:val="7882194D"/>
    <w:rsid w:val="79D9262A"/>
    <w:rsid w:val="7A9D20EE"/>
    <w:rsid w:val="7B284396"/>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Agreement"/>
    <w:basedOn w:val="1"/>
    <w:next w:val="14"/>
    <w:qFormat/>
    <w:uiPriority w:val="99"/>
    <w:pPr>
      <w:numPr>
        <w:ilvl w:val="0"/>
        <w:numId w:val="3"/>
      </w:numPr>
      <w:spacing w:before="60"/>
    </w:pPr>
    <w:rPr>
      <w:b/>
    </w:rPr>
  </w:style>
  <w:style w:type="paragraph" w:customStyle="1" w:styleId="14">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7</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2025-03-28T07:37:01Z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